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after="312" w:afterLines="100"/>
        <w:jc w:val="center"/>
        <w:rPr>
          <w:rFonts w:ascii="方正小标宋简体" w:eastAsia="方正小标宋简体"/>
          <w:sz w:val="44"/>
          <w:szCs w:val="44"/>
        </w:rPr>
      </w:pPr>
      <w:r>
        <w:rPr>
          <w:rFonts w:hint="eastAsia" w:ascii="方正小标宋简体" w:eastAsia="方正小标宋简体"/>
          <w:sz w:val="44"/>
          <w:szCs w:val="44"/>
          <w:lang w:eastAsia="zh-CN"/>
        </w:rPr>
        <w:t>XX单位</w:t>
      </w:r>
      <w:r>
        <w:rPr>
          <w:rFonts w:hint="eastAsia" w:ascii="方正小标宋简体" w:eastAsia="方正小标宋简体"/>
          <w:sz w:val="44"/>
          <w:szCs w:val="44"/>
        </w:rPr>
        <w:br w:type="textWrapping"/>
      </w:r>
      <w:r>
        <w:rPr>
          <w:rFonts w:hint="eastAsia" w:ascii="方正小标宋简体" w:eastAsia="方正小标宋简体"/>
          <w:sz w:val="44"/>
          <w:szCs w:val="44"/>
        </w:rPr>
        <w:t>内部控制考核评价报告</w:t>
      </w:r>
    </w:p>
    <w:p>
      <w:pPr>
        <w:autoSpaceDE w:val="0"/>
        <w:autoSpaceDN w:val="0"/>
        <w:adjustRightInd w:val="0"/>
        <w:spacing w:line="560" w:lineRule="exact"/>
        <w:ind w:firstLine="640" w:firstLineChars="200"/>
        <w:rPr>
          <w:rFonts w:ascii="仿宋_GB2312" w:hAnsi="Times New Roman" w:eastAsia="仿宋_GB2312" w:cs="Times New Roman"/>
          <w:kern w:val="0"/>
          <w:sz w:val="32"/>
          <w:szCs w:val="32"/>
          <w:lang w:val="zh-CN"/>
        </w:rPr>
      </w:pPr>
      <w:r>
        <w:rPr>
          <w:rFonts w:hint="eastAsia" w:ascii="仿宋_GB2312" w:hAnsi="Times New Roman" w:eastAsia="仿宋_GB2312" w:cs="Times New Roman"/>
          <w:kern w:val="0"/>
          <w:sz w:val="32"/>
          <w:szCs w:val="32"/>
          <w:lang w:val="zh-CN"/>
        </w:rPr>
        <w:t>内部控制是由单位领导层和全体职工实施的、旨在提高行政事业单位管理服务水平和风险防范能力，促进单位可持续、健康发展，维护社会主义市场经济秩序和社会公众利益，实现行政事业单位管理服务目标所制定的政策和程序。按照财政部印发的《行政事业单位内部控制规范》要求，为进一步提高202</w:t>
      </w:r>
      <w:r>
        <w:rPr>
          <w:rFonts w:hint="eastAsia" w:ascii="仿宋_GB2312" w:hAnsi="Times New Roman" w:eastAsia="仿宋_GB2312" w:cs="Times New Roman"/>
          <w:kern w:val="0"/>
          <w:sz w:val="32"/>
          <w:szCs w:val="32"/>
          <w:lang w:val="en-US" w:eastAsia="zh-CN"/>
        </w:rPr>
        <w:t>1</w:t>
      </w:r>
      <w:r>
        <w:rPr>
          <w:rFonts w:hint="eastAsia" w:ascii="仿宋_GB2312" w:hAnsi="Times New Roman" w:eastAsia="仿宋_GB2312" w:cs="Times New Roman"/>
          <w:kern w:val="0"/>
          <w:sz w:val="32"/>
          <w:szCs w:val="32"/>
          <w:lang w:val="zh-CN"/>
        </w:rPr>
        <w:t>年单位内部管理水平，202</w:t>
      </w:r>
      <w:r>
        <w:rPr>
          <w:rFonts w:hint="eastAsia" w:ascii="仿宋_GB2312" w:hAnsi="Times New Roman" w:eastAsia="仿宋_GB2312" w:cs="Times New Roman"/>
          <w:kern w:val="0"/>
          <w:sz w:val="32"/>
          <w:szCs w:val="32"/>
          <w:lang w:val="en-US" w:eastAsia="zh-CN"/>
        </w:rPr>
        <w:t>1</w:t>
      </w:r>
      <w:r>
        <w:rPr>
          <w:rFonts w:hint="eastAsia" w:ascii="仿宋_GB2312" w:hAnsi="Times New Roman" w:eastAsia="仿宋_GB2312" w:cs="Times New Roman"/>
          <w:kern w:val="0"/>
          <w:sz w:val="32"/>
          <w:szCs w:val="32"/>
          <w:lang w:val="zh-CN"/>
        </w:rPr>
        <w:t>年单位对内部控制体系的有效性和合法性进行了全面的评估，并对各业务环节通过观察、分析、计算等多种方式进行了适当的评价。现将有关贯彻实施情况报告如下：</w:t>
      </w:r>
    </w:p>
    <w:p>
      <w:pPr>
        <w:autoSpaceDE w:val="0"/>
        <w:autoSpaceDN w:val="0"/>
        <w:spacing w:line="560" w:lineRule="exact"/>
        <w:ind w:firstLine="640" w:firstLineChars="200"/>
        <w:rPr>
          <w:rFonts w:ascii="仿宋_GB2312" w:hAnsi="Arial" w:eastAsia="仿宋_GB2312" w:cs="Arial"/>
          <w:kern w:val="0"/>
          <w:sz w:val="32"/>
          <w:szCs w:val="32"/>
        </w:rPr>
      </w:pPr>
      <w:r>
        <w:rPr>
          <w:rFonts w:hint="eastAsia" w:ascii="仿宋_GB2312" w:eastAsia="仿宋_GB2312" w:cs="AdobeSongStd-Light"/>
          <w:kern w:val="0"/>
          <w:sz w:val="32"/>
          <w:szCs w:val="32"/>
        </w:rPr>
        <w:t>一、内控制度建设情况</w:t>
      </w:r>
    </w:p>
    <w:p>
      <w:pPr>
        <w:autoSpaceDE w:val="0"/>
        <w:autoSpaceDN w:val="0"/>
        <w:spacing w:line="560" w:lineRule="exact"/>
        <w:ind w:firstLine="640" w:firstLineChars="200"/>
        <w:rPr>
          <w:rFonts w:ascii="仿宋_GB2312" w:eastAsia="仿宋_GB2312" w:cs="AdobeSongStd-Light"/>
          <w:kern w:val="0"/>
          <w:sz w:val="32"/>
          <w:szCs w:val="32"/>
        </w:rPr>
      </w:pPr>
      <w:r>
        <w:rPr>
          <w:rFonts w:hint="eastAsia" w:ascii="仿宋_GB2312" w:eastAsia="仿宋_GB2312" w:cs="AdobeSongStd-Light"/>
          <w:kern w:val="0"/>
          <w:sz w:val="32"/>
          <w:szCs w:val="32"/>
        </w:rPr>
        <w:t>自《行政事业单位内部控制规范（试行）》实施以来，</w:t>
      </w:r>
      <w:r>
        <w:rPr>
          <w:rFonts w:hint="eastAsia" w:ascii="仿宋_GB2312" w:eastAsia="仿宋_GB2312" w:cs="AdobeSongStd-Light"/>
          <w:kern w:val="0"/>
          <w:sz w:val="32"/>
          <w:szCs w:val="32"/>
          <w:lang w:eastAsia="zh-CN"/>
        </w:rPr>
        <w:t>单位</w:t>
      </w:r>
      <w:r>
        <w:rPr>
          <w:rFonts w:hint="eastAsia" w:ascii="仿宋_GB2312" w:eastAsia="仿宋_GB2312" w:cs="AdobeSongStd-Light"/>
          <w:kern w:val="0"/>
          <w:sz w:val="32"/>
          <w:szCs w:val="32"/>
        </w:rPr>
        <w:t>积极组织开展了贯彻实施《行政事业单位内控规范》的工作，在坚持内控制度要全面性、重要性、制衡性、适应性等原则的基础上进一步完善了本单位的内部控制制度，使之成为符合实际、行之有效的一套内控制度，提高了单位的管理水平，规范了内部控制，加强了廉政风险防控机制建设。主要有以下几点：</w:t>
      </w:r>
    </w:p>
    <w:p>
      <w:pPr>
        <w:autoSpaceDE w:val="0"/>
        <w:autoSpaceDN w:val="0"/>
        <w:adjustRightInd w:val="0"/>
        <w:spacing w:line="560" w:lineRule="exact"/>
        <w:ind w:firstLine="640" w:firstLineChars="200"/>
        <w:rPr>
          <w:rFonts w:ascii="AdobeSongStd-Light" w:eastAsia="AdobeSongStd-Light" w:cs="AdobeSongStd-Light"/>
          <w:kern w:val="0"/>
          <w:sz w:val="46"/>
          <w:szCs w:val="46"/>
        </w:rPr>
      </w:pPr>
      <w:r>
        <w:rPr>
          <w:rFonts w:hint="eastAsia" w:ascii="仿宋_GB2312" w:eastAsia="仿宋_GB2312" w:cs="AdobeSongStd-Light"/>
          <w:kern w:val="0"/>
          <w:sz w:val="32"/>
          <w:szCs w:val="32"/>
        </w:rPr>
        <w:t>（一）对不相容岗位相互分离，由单位一把手主持制定《内部控制建设规划方案》，成立内部控制领导小组、内控实施工作小组、风险评估小组、内控评价与监督机构，明确了领导小组、工作小组、牵头部门等组成成员的职责及分工，建立单位各部门在内部控制中的沟通协调和联动机制，同时对每项业务的岗位职责以及各项业务的操作规程进行了明确形成相互制约、相互监督的工作机制。</w:t>
      </w:r>
    </w:p>
    <w:p>
      <w:pPr>
        <w:autoSpaceDE w:val="0"/>
        <w:autoSpaceDN w:val="0"/>
        <w:spacing w:line="560" w:lineRule="exact"/>
        <w:ind w:firstLine="640" w:firstLineChars="200"/>
        <w:rPr>
          <w:rFonts w:ascii="仿宋_GB2312" w:eastAsia="仿宋_GB2312" w:cs="AdobeSongStd-Light"/>
          <w:kern w:val="0"/>
          <w:sz w:val="32"/>
          <w:szCs w:val="32"/>
        </w:rPr>
      </w:pPr>
      <w:r>
        <w:rPr>
          <w:rFonts w:hint="eastAsia" w:ascii="仿宋_GB2312" w:eastAsia="仿宋_GB2312" w:cs="AdobeSongStd-Light"/>
          <w:kern w:val="0"/>
          <w:sz w:val="32"/>
          <w:szCs w:val="32"/>
        </w:rPr>
        <w:t>（二）内部授权审批控制，对领导班子成员、财务、行政、人事等部门分别授权签定目标责任书，进一步明确各岗位工作职责、处理事项的权限范围、审批程序等，建立重大事项集体决策和会签制度。同时不定期开展岗位轮换，既熟悉了各岗位的业务，又避免了一个人长期在一个岗位工作带来的弊端各部门工作人员在授权范围内行使职权、办理业务。</w:t>
      </w:r>
    </w:p>
    <w:p>
      <w:pPr>
        <w:autoSpaceDE w:val="0"/>
        <w:autoSpaceDN w:val="0"/>
        <w:spacing w:line="560" w:lineRule="exact"/>
        <w:ind w:firstLine="640" w:firstLineChars="200"/>
        <w:rPr>
          <w:rFonts w:ascii="仿宋_GB2312" w:eastAsia="仿宋_GB2312" w:cs="AdobeSongStd-Light"/>
          <w:kern w:val="0"/>
          <w:sz w:val="32"/>
          <w:szCs w:val="32"/>
        </w:rPr>
      </w:pPr>
      <w:r>
        <w:rPr>
          <w:rFonts w:hint="eastAsia" w:ascii="仿宋_GB2312" w:eastAsia="仿宋_GB2312" w:cs="AdobeSongStd-Light"/>
          <w:kern w:val="0"/>
          <w:sz w:val="32"/>
          <w:szCs w:val="32"/>
        </w:rPr>
        <w:t>（三）根据</w:t>
      </w:r>
      <w:r>
        <w:rPr>
          <w:rFonts w:hint="eastAsia" w:ascii="仿宋_GB2312" w:eastAsia="仿宋_GB2312" w:cs="AdobeSongStd-Light"/>
          <w:kern w:val="0"/>
          <w:sz w:val="32"/>
          <w:szCs w:val="32"/>
          <w:lang w:eastAsia="zh-CN"/>
        </w:rPr>
        <w:t>202</w:t>
      </w:r>
      <w:r>
        <w:rPr>
          <w:rFonts w:hint="eastAsia" w:ascii="仿宋_GB2312" w:eastAsia="仿宋_GB2312" w:cs="AdobeSongStd-Light"/>
          <w:kern w:val="0"/>
          <w:sz w:val="32"/>
          <w:szCs w:val="32"/>
          <w:lang w:val="en-US" w:eastAsia="zh-CN"/>
        </w:rPr>
        <w:t>1</w:t>
      </w:r>
      <w:r>
        <w:rPr>
          <w:rFonts w:hint="eastAsia" w:ascii="仿宋_GB2312" w:eastAsia="仿宋_GB2312" w:cs="AdobeSongStd-Light"/>
          <w:kern w:val="0"/>
          <w:sz w:val="32"/>
          <w:szCs w:val="32"/>
          <w:lang w:eastAsia="zh-CN"/>
        </w:rPr>
        <w:t>年单位</w:t>
      </w:r>
      <w:r>
        <w:rPr>
          <w:rFonts w:hint="eastAsia" w:ascii="仿宋_GB2312" w:eastAsia="仿宋_GB2312" w:cs="AdobeSongStd-Light"/>
          <w:kern w:val="0"/>
          <w:sz w:val="32"/>
          <w:szCs w:val="32"/>
        </w:rPr>
        <w:t>实际情况实行归口管理，对单位预算业务、收支业务、采购业务、资产管理、基础建设项目管理及合同管理等重要经济事项进行统一管理。</w:t>
      </w:r>
    </w:p>
    <w:p>
      <w:pPr>
        <w:autoSpaceDE w:val="0"/>
        <w:autoSpaceDN w:val="0"/>
        <w:spacing w:line="560" w:lineRule="exact"/>
        <w:ind w:firstLine="640" w:firstLineChars="200"/>
        <w:rPr>
          <w:rFonts w:ascii="仿宋_GB2312" w:eastAsia="仿宋_GB2312" w:cs="AdobeSongStd-Light"/>
          <w:kern w:val="0"/>
          <w:sz w:val="32"/>
          <w:szCs w:val="32"/>
        </w:rPr>
      </w:pPr>
      <w:r>
        <w:rPr>
          <w:rFonts w:hint="eastAsia" w:ascii="仿宋_GB2312" w:eastAsia="仿宋_GB2312" w:cs="AdobeSongStd-Light"/>
          <w:kern w:val="0"/>
          <w:sz w:val="32"/>
          <w:szCs w:val="32"/>
        </w:rPr>
        <w:t>（四）在业务层面的内部控制方面，完善了单位的预算管理制度、收支管理制度等，明确收支管理领域内部控制的决策、管理、执行等职责，严格按照审批、审核、支付、核算的相关规定执行。建立健全票据管理制度，对财政票据的申领、启用、核销、销毁等进一步规范化，并建立票据台账由出纳负责管理。</w:t>
      </w:r>
    </w:p>
    <w:p>
      <w:pPr>
        <w:autoSpaceDE w:val="0"/>
        <w:autoSpaceDN w:val="0"/>
        <w:spacing w:line="560" w:lineRule="exact"/>
        <w:ind w:firstLine="640" w:firstLineChars="200"/>
        <w:rPr>
          <w:rFonts w:ascii="仿宋_GB2312" w:eastAsia="仿宋_GB2312" w:cs="AdobeSongStd-Light"/>
          <w:kern w:val="0"/>
          <w:sz w:val="32"/>
          <w:szCs w:val="32"/>
        </w:rPr>
      </w:pPr>
      <w:r>
        <w:rPr>
          <w:rFonts w:hint="eastAsia" w:ascii="仿宋_GB2312" w:eastAsia="仿宋_GB2312" w:cs="AdobeSongStd-Light"/>
          <w:kern w:val="0"/>
          <w:sz w:val="32"/>
          <w:szCs w:val="32"/>
        </w:rPr>
        <w:t>（五）在资产管理方面，完善了资产管理制度，建立资产台账，每年至少一次对单位资产进行全面清查核实，严格按照规定进行资产处置，进一步完善了资产信息系统，实现了对资产的动态管理。</w:t>
      </w:r>
    </w:p>
    <w:p>
      <w:pPr>
        <w:autoSpaceDE w:val="0"/>
        <w:autoSpaceDN w:val="0"/>
        <w:spacing w:line="560" w:lineRule="exact"/>
        <w:ind w:firstLine="640" w:firstLineChars="200"/>
        <w:rPr>
          <w:rFonts w:ascii="仿宋_GB2312" w:eastAsia="仿宋_GB2312" w:cs="AdobeSongStd-Light"/>
          <w:kern w:val="0"/>
          <w:sz w:val="32"/>
          <w:szCs w:val="32"/>
        </w:rPr>
      </w:pPr>
      <w:r>
        <w:rPr>
          <w:rFonts w:hint="eastAsia" w:ascii="仿宋_GB2312" w:eastAsia="仿宋_GB2312" w:cs="AdobeSongStd-Light"/>
          <w:kern w:val="0"/>
          <w:sz w:val="32"/>
          <w:szCs w:val="32"/>
        </w:rPr>
        <w:t>（六）在会计控制方面，完善了单位的会计管理办法，强化会计人员管理制度，按照国家统一的会计制度全面、客观地编制财务会计报告，加强会计档案管理，明确会计凭证、会计账簿等处理程序。</w:t>
      </w:r>
    </w:p>
    <w:p>
      <w:pPr>
        <w:autoSpaceDE w:val="0"/>
        <w:autoSpaceDN w:val="0"/>
        <w:spacing w:line="560" w:lineRule="exact"/>
        <w:ind w:firstLine="640" w:firstLineChars="200"/>
        <w:rPr>
          <w:rFonts w:ascii="仿宋_GB2312" w:eastAsia="仿宋_GB2312" w:cs="AdobeSongStd-Light"/>
          <w:kern w:val="0"/>
          <w:sz w:val="32"/>
          <w:szCs w:val="32"/>
        </w:rPr>
      </w:pPr>
      <w:r>
        <w:rPr>
          <w:rFonts w:hint="eastAsia" w:ascii="仿宋_GB2312" w:eastAsia="仿宋_GB2312" w:cs="AdobeSongStd-Light"/>
          <w:kern w:val="0"/>
          <w:sz w:val="32"/>
          <w:szCs w:val="32"/>
        </w:rPr>
        <w:t>二、内部控制评价与监督情况：</w:t>
      </w:r>
    </w:p>
    <w:p>
      <w:pPr>
        <w:autoSpaceDE w:val="0"/>
        <w:autoSpaceDN w:val="0"/>
        <w:spacing w:line="560" w:lineRule="exact"/>
        <w:ind w:firstLine="640" w:firstLineChars="200"/>
        <w:rPr>
          <w:rFonts w:ascii="仿宋_GB2312" w:eastAsia="仿宋_GB2312" w:cs="AdobeSongStd-Light"/>
          <w:kern w:val="0"/>
          <w:sz w:val="32"/>
          <w:szCs w:val="32"/>
        </w:rPr>
      </w:pPr>
      <w:r>
        <w:rPr>
          <w:rFonts w:hint="eastAsia" w:ascii="仿宋_GB2312" w:eastAsia="仿宋_GB2312" w:cs="AdobeSongStd-Light"/>
          <w:kern w:val="0"/>
          <w:sz w:val="32"/>
          <w:szCs w:val="32"/>
        </w:rPr>
        <w:t>为保证内部控制目标的实现，</w:t>
      </w:r>
      <w:r>
        <w:rPr>
          <w:rFonts w:hint="eastAsia" w:ascii="仿宋_GB2312" w:eastAsia="仿宋_GB2312" w:cs="AdobeSongStd-Light"/>
          <w:kern w:val="0"/>
          <w:sz w:val="32"/>
          <w:szCs w:val="32"/>
          <w:lang w:eastAsia="zh-CN"/>
        </w:rPr>
        <w:t>202</w:t>
      </w:r>
      <w:r>
        <w:rPr>
          <w:rFonts w:hint="eastAsia" w:ascii="仿宋_GB2312" w:eastAsia="仿宋_GB2312" w:cs="AdobeSongStd-Light"/>
          <w:kern w:val="0"/>
          <w:sz w:val="32"/>
          <w:szCs w:val="32"/>
          <w:lang w:val="en-US" w:eastAsia="zh-CN"/>
        </w:rPr>
        <w:t>1</w:t>
      </w:r>
      <w:r>
        <w:rPr>
          <w:rFonts w:hint="eastAsia" w:ascii="仿宋_GB2312" w:eastAsia="仿宋_GB2312" w:cs="AdobeSongStd-Light"/>
          <w:kern w:val="0"/>
          <w:sz w:val="32"/>
          <w:szCs w:val="32"/>
          <w:lang w:eastAsia="zh-CN"/>
        </w:rPr>
        <w:t>年单位</w:t>
      </w:r>
      <w:r>
        <w:rPr>
          <w:rFonts w:hint="eastAsia" w:ascii="仿宋_GB2312" w:eastAsia="仿宋_GB2312" w:cs="AdobeSongStd-Light"/>
          <w:kern w:val="0"/>
          <w:sz w:val="32"/>
          <w:szCs w:val="32"/>
        </w:rPr>
        <w:t>对决策、执行、监督进行了分离，由独立的评价与监督机构对</w:t>
      </w:r>
      <w:r>
        <w:rPr>
          <w:rFonts w:hint="eastAsia" w:ascii="仿宋_GB2312" w:eastAsia="仿宋_GB2312" w:cs="AdobeSongStd-Light"/>
          <w:kern w:val="0"/>
          <w:sz w:val="32"/>
          <w:szCs w:val="32"/>
          <w:lang w:eastAsia="zh-CN"/>
        </w:rPr>
        <w:t>202</w:t>
      </w:r>
      <w:r>
        <w:rPr>
          <w:rFonts w:hint="eastAsia" w:ascii="仿宋_GB2312" w:eastAsia="仿宋_GB2312" w:cs="AdobeSongStd-Light"/>
          <w:kern w:val="0"/>
          <w:sz w:val="32"/>
          <w:szCs w:val="32"/>
          <w:lang w:val="en-US" w:eastAsia="zh-CN"/>
        </w:rPr>
        <w:t>1</w:t>
      </w:r>
      <w:r>
        <w:rPr>
          <w:rFonts w:hint="eastAsia" w:ascii="仿宋_GB2312" w:eastAsia="仿宋_GB2312" w:cs="AdobeSongStd-Light"/>
          <w:kern w:val="0"/>
          <w:sz w:val="32"/>
          <w:szCs w:val="32"/>
          <w:lang w:eastAsia="zh-CN"/>
        </w:rPr>
        <w:t>年单位</w:t>
      </w:r>
      <w:r>
        <w:rPr>
          <w:rFonts w:hint="eastAsia" w:ascii="仿宋_GB2312" w:eastAsia="仿宋_GB2312" w:cs="AdobeSongStd-Light"/>
          <w:kern w:val="0"/>
          <w:sz w:val="32"/>
          <w:szCs w:val="32"/>
        </w:rPr>
        <w:t>内部控制建设实施情况进行监督考核，建立了岗位责任制及内部监督制度及考核方案，每年至少一次对单位内控情况进行全方位的评审，并逐步与绩效目标深层次挂钩，对不达标的部门执行严厉的处罚措施。</w:t>
      </w:r>
    </w:p>
    <w:p>
      <w:pPr>
        <w:autoSpaceDE w:val="0"/>
        <w:autoSpaceDN w:val="0"/>
        <w:spacing w:line="560" w:lineRule="exact"/>
        <w:ind w:firstLine="640" w:firstLineChars="200"/>
        <w:rPr>
          <w:rFonts w:ascii="仿宋_GB2312" w:eastAsia="仿宋_GB2312" w:cs="AdobeSongStd-Light"/>
          <w:kern w:val="0"/>
          <w:sz w:val="32"/>
          <w:szCs w:val="32"/>
        </w:rPr>
      </w:pPr>
      <w:r>
        <w:rPr>
          <w:rFonts w:hint="eastAsia" w:ascii="仿宋_GB2312" w:eastAsia="仿宋_GB2312" w:cs="AdobeSongStd-Light"/>
          <w:kern w:val="0"/>
          <w:sz w:val="32"/>
          <w:szCs w:val="32"/>
        </w:rPr>
        <w:t>三、内部控制建设的不足</w:t>
      </w:r>
    </w:p>
    <w:p>
      <w:pPr>
        <w:autoSpaceDE w:val="0"/>
        <w:autoSpaceDN w:val="0"/>
        <w:spacing w:line="560" w:lineRule="exact"/>
        <w:ind w:firstLine="640" w:firstLineChars="200"/>
        <w:rPr>
          <w:rFonts w:ascii="仿宋_GB2312" w:eastAsia="仿宋_GB2312" w:cs="AdobeSongStd-Light"/>
          <w:kern w:val="0"/>
          <w:sz w:val="32"/>
          <w:szCs w:val="32"/>
        </w:rPr>
      </w:pPr>
      <w:r>
        <w:rPr>
          <w:rFonts w:hint="eastAsia" w:ascii="仿宋_GB2312" w:eastAsia="仿宋_GB2312" w:cs="AdobeSongStd-Light"/>
          <w:kern w:val="0"/>
          <w:sz w:val="32"/>
          <w:szCs w:val="32"/>
        </w:rPr>
        <w:t>（一）进一步加强预算管理，增强预算的计划性、科学性，主要通过加强对预算管理重要性的认识、实行预算编制与执行“回头看”的制度以及加强预算的执行与监督管理等措施，使预算管理的约束控制力得到充分发挥。</w:t>
      </w:r>
      <w:bookmarkStart w:id="0" w:name="_GoBack"/>
      <w:bookmarkEnd w:id="0"/>
    </w:p>
    <w:p>
      <w:pPr>
        <w:autoSpaceDE w:val="0"/>
        <w:autoSpaceDN w:val="0"/>
        <w:spacing w:line="560" w:lineRule="exact"/>
        <w:ind w:firstLine="640" w:firstLineChars="200"/>
        <w:rPr>
          <w:rFonts w:ascii="仿宋_GB2312" w:eastAsia="仿宋_GB2312" w:cs="AdobeSongStd-Light"/>
          <w:kern w:val="0"/>
          <w:sz w:val="32"/>
          <w:szCs w:val="32"/>
        </w:rPr>
      </w:pPr>
      <w:r>
        <w:rPr>
          <w:rFonts w:hint="eastAsia" w:ascii="仿宋_GB2312" w:eastAsia="仿宋_GB2312" w:cs="AdobeSongStd-Light"/>
          <w:kern w:val="0"/>
          <w:sz w:val="32"/>
          <w:szCs w:val="32"/>
        </w:rPr>
        <w:t>（二）在内部控制文化建设方面还需要积极培育符合</w:t>
      </w:r>
      <w:r>
        <w:rPr>
          <w:rFonts w:hint="eastAsia" w:ascii="仿宋_GB2312" w:eastAsia="仿宋_GB2312" w:cs="AdobeSongStd-Light"/>
          <w:kern w:val="0"/>
          <w:sz w:val="32"/>
          <w:szCs w:val="32"/>
          <w:lang w:eastAsia="zh-CN"/>
        </w:rPr>
        <w:t>单位</w:t>
      </w:r>
      <w:r>
        <w:rPr>
          <w:rFonts w:hint="eastAsia" w:ascii="仿宋_GB2312" w:eastAsia="仿宋_GB2312" w:cs="AdobeSongStd-Light"/>
          <w:kern w:val="0"/>
          <w:sz w:val="32"/>
          <w:szCs w:val="32"/>
        </w:rPr>
        <w:t>实际情况的内部控制文化，主要通过参与专题讲座、内部宣传教育等措施，使内控意识渗透到每一位职工干部思想深处。</w:t>
      </w:r>
    </w:p>
    <w:p>
      <w:pPr>
        <w:autoSpaceDE w:val="0"/>
        <w:autoSpaceDN w:val="0"/>
        <w:spacing w:line="560" w:lineRule="exact"/>
        <w:rPr>
          <w:rFonts w:ascii="仿宋_GB2312" w:hAnsi="Arial" w:eastAsia="仿宋_GB2312" w:cs="Arial"/>
          <w:kern w:val="0"/>
          <w:sz w:val="32"/>
          <w:szCs w:val="32"/>
        </w:rPr>
      </w:pPr>
    </w:p>
    <w:p>
      <w:pPr>
        <w:autoSpaceDE w:val="0"/>
        <w:autoSpaceDN w:val="0"/>
        <w:spacing w:line="560" w:lineRule="exact"/>
        <w:ind w:firstLine="640" w:firstLineChars="200"/>
        <w:jc w:val="right"/>
        <w:rPr>
          <w:rFonts w:hint="eastAsia" w:ascii="仿宋_GB2312" w:eastAsia="仿宋_GB2312" w:cs="AdobeSongStd-Light"/>
          <w:kern w:val="0"/>
          <w:sz w:val="32"/>
          <w:szCs w:val="32"/>
        </w:rPr>
      </w:pPr>
      <w:r>
        <w:rPr>
          <w:rFonts w:hint="eastAsia" w:ascii="仿宋_GB2312" w:eastAsia="仿宋_GB2312" w:cs="AdobeSongStd-Light"/>
          <w:kern w:val="0"/>
          <w:sz w:val="32"/>
          <w:szCs w:val="32"/>
        </w:rPr>
        <w:t>内控自评工作小组</w:t>
      </w:r>
    </w:p>
    <w:p>
      <w:pPr>
        <w:autoSpaceDE w:val="0"/>
        <w:autoSpaceDN w:val="0"/>
        <w:spacing w:line="560" w:lineRule="exact"/>
        <w:ind w:firstLine="640" w:firstLineChars="200"/>
        <w:jc w:val="right"/>
        <w:rPr>
          <w:rFonts w:ascii="仿宋_GB2312" w:hAnsi="Arial" w:eastAsia="仿宋_GB2312" w:cs="Arial"/>
          <w:kern w:val="0"/>
          <w:sz w:val="32"/>
          <w:szCs w:val="32"/>
          <w:lang w:val="zh-CN"/>
        </w:rPr>
      </w:pPr>
      <w:r>
        <w:rPr>
          <w:rFonts w:hint="eastAsia" w:ascii="仿宋_GB2312" w:eastAsia="仿宋_GB2312" w:cs="AdobeSongStd-Light"/>
          <w:kern w:val="0"/>
          <w:sz w:val="32"/>
          <w:szCs w:val="32"/>
        </w:rPr>
        <w:t xml:space="preserve">         </w:t>
      </w:r>
      <w:r>
        <w:rPr>
          <w:rFonts w:hint="eastAsia" w:ascii="仿宋_GB2312" w:eastAsia="仿宋_GB2312" w:cs="AdobeSongStd-Light"/>
          <w:kern w:val="0"/>
          <w:sz w:val="32"/>
          <w:szCs w:val="32"/>
          <w:lang w:val="en-US" w:eastAsia="zh-CN"/>
        </w:rPr>
        <w:t xml:space="preserve">      </w:t>
      </w:r>
      <w:r>
        <w:rPr>
          <w:rFonts w:hint="eastAsia" w:ascii="仿宋_GB2312" w:eastAsia="仿宋_GB2312" w:cs="AdobeSongStd-Light"/>
          <w:kern w:val="0"/>
          <w:sz w:val="32"/>
          <w:szCs w:val="32"/>
        </w:rPr>
        <w:t xml:space="preserve">  202</w:t>
      </w:r>
      <w:r>
        <w:rPr>
          <w:rFonts w:hint="eastAsia" w:ascii="仿宋_GB2312" w:eastAsia="仿宋_GB2312" w:cs="AdobeSongStd-Light"/>
          <w:kern w:val="0"/>
          <w:sz w:val="32"/>
          <w:szCs w:val="32"/>
          <w:lang w:val="en-US" w:eastAsia="zh-CN"/>
        </w:rPr>
        <w:t xml:space="preserve">1 </w:t>
      </w:r>
      <w:r>
        <w:rPr>
          <w:rFonts w:hint="eastAsia" w:ascii="仿宋_GB2312" w:eastAsia="仿宋_GB2312" w:cs="AdobeSongStd-Light"/>
          <w:kern w:val="0"/>
          <w:sz w:val="32"/>
          <w:szCs w:val="32"/>
        </w:rPr>
        <w:t>年</w:t>
      </w:r>
      <w:r>
        <w:rPr>
          <w:rFonts w:hint="eastAsia" w:ascii="仿宋_GB2312" w:eastAsia="仿宋_GB2312" w:cs="AdobeSongStd-Light"/>
          <w:kern w:val="0"/>
          <w:sz w:val="32"/>
          <w:szCs w:val="32"/>
          <w:lang w:val="en-US" w:eastAsia="zh-CN"/>
        </w:rPr>
        <w:t xml:space="preserve"> </w:t>
      </w:r>
      <w:r>
        <w:rPr>
          <w:rFonts w:hint="eastAsia" w:ascii="仿宋_GB2312" w:eastAsia="仿宋_GB2312" w:cs="AdobeSongStd-Light"/>
          <w:kern w:val="0"/>
          <w:sz w:val="32"/>
          <w:szCs w:val="32"/>
        </w:rPr>
        <w:t xml:space="preserve">11月 15 </w:t>
      </w:r>
      <w:r>
        <w:rPr>
          <w:rFonts w:hint="eastAsia" w:ascii="仿宋" w:hAnsi="仿宋" w:eastAsia="仿宋"/>
          <w:sz w:val="28"/>
          <w:szCs w:val="28"/>
        </w:rPr>
        <w:t>日</w:t>
      </w:r>
    </w:p>
    <w:sectPr>
      <w:pgSz w:w="11906" w:h="16838"/>
      <w:pgMar w:top="2098" w:right="1474" w:bottom="1985" w:left="1588"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altName w:val="宋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Arial Unicode MS"/>
    <w:panose1 w:val="02010600030101010101"/>
    <w:charset w:val="86"/>
    <w:family w:val="auto"/>
    <w:pitch w:val="default"/>
    <w:sig w:usb0="00000000" w:usb1="00000000" w:usb2="00000016" w:usb3="00000000" w:csb0="0004000F" w:csb1="00000000"/>
  </w:font>
  <w:font w:name="Arial Unicode MS">
    <w:panose1 w:val="020B0604020202020204"/>
    <w:charset w:val="86"/>
    <w:family w:val="auto"/>
    <w:pitch w:val="default"/>
    <w:sig w:usb0="FFFFFFFF" w:usb1="E9FFFFFF" w:usb2="0000003F" w:usb3="00000000" w:csb0="603F01FF" w:csb1="FFFF0000"/>
  </w:font>
  <w:font w:name="等线">
    <w:altName w:val="Arial Unicode MS"/>
    <w:panose1 w:val="00000000000000000000"/>
    <w:charset w:val="86"/>
    <w:family w:val="auto"/>
    <w:pitch w:val="default"/>
    <w:sig w:usb0="00000000" w:usb1="00000000" w:usb2="00000000" w:usb3="00000000" w:csb0="00000000" w:csb1="00000000"/>
  </w:font>
  <w:font w:name="等线">
    <w:altName w:val="Arial Unicode MS"/>
    <w:panose1 w:val="00000000000000000000"/>
    <w:charset w:val="00"/>
    <w:family w:val="auto"/>
    <w:pitch w:val="default"/>
    <w:sig w:usb0="00000000" w:usb1="00000000" w:usb2="00000000" w:usb3="00000000" w:csb0="00000000" w:csb1="00000000"/>
  </w:font>
  <w:font w:name="方正小标宋简体">
    <w:altName w:val="微软雅黑"/>
    <w:panose1 w:val="03000509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 w:name="仿宋_GB2312">
    <w:panose1 w:val="02010609030101010101"/>
    <w:charset w:val="86"/>
    <w:family w:val="modern"/>
    <w:pitch w:val="default"/>
    <w:sig w:usb0="00000001" w:usb1="080E0000" w:usb2="00000000" w:usb3="00000000" w:csb0="00040000" w:csb1="00000000"/>
  </w:font>
  <w:font w:name="AdobeSongStd-Light">
    <w:altName w:val="微软雅黑"/>
    <w:panose1 w:val="00000000000000000000"/>
    <w:charset w:val="86"/>
    <w:family w:val="auto"/>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mFhNDE5ODdjNGRkYTAzMGNhZTllZDMxYzZmNDRhM2IifQ=="/>
  </w:docVars>
  <w:rsids>
    <w:rsidRoot w:val="00BF3CEB"/>
    <w:rsid w:val="001C3BFB"/>
    <w:rsid w:val="00257F65"/>
    <w:rsid w:val="002756CA"/>
    <w:rsid w:val="00393D6B"/>
    <w:rsid w:val="0051518F"/>
    <w:rsid w:val="00582600"/>
    <w:rsid w:val="007350F8"/>
    <w:rsid w:val="008A31A6"/>
    <w:rsid w:val="008D3A4F"/>
    <w:rsid w:val="0093449B"/>
    <w:rsid w:val="00967027"/>
    <w:rsid w:val="00BF3CEB"/>
    <w:rsid w:val="00D270D8"/>
    <w:rsid w:val="00D6607F"/>
    <w:rsid w:val="00DF122B"/>
    <w:rsid w:val="00F15FD0"/>
    <w:rsid w:val="00F36C1E"/>
    <w:rsid w:val="1D2A3F8C"/>
    <w:rsid w:val="27A136F3"/>
    <w:rsid w:val="40AE3D62"/>
    <w:rsid w:val="5028686B"/>
    <w:rsid w:val="65725D7C"/>
    <w:rsid w:val="6E4776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3">
    <w:name w:val="Default Paragraph Font"/>
    <w:semiHidden/>
    <w:unhideWhenUsed/>
    <w:qFormat/>
    <w:uiPriority w:val="1"/>
  </w:style>
  <w:style w:type="table" w:default="1" w:styleId="2">
    <w:name w:val="Normal Table"/>
    <w:semiHidden/>
    <w:unhideWhenUsed/>
    <w:qFormat/>
    <w:uiPriority w:val="99"/>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1492</Words>
  <Characters>1512</Characters>
  <Lines>10</Lines>
  <Paragraphs>2</Paragraphs>
  <TotalTime>1</TotalTime>
  <ScaleCrop>false</ScaleCrop>
  <LinksUpToDate>false</LinksUpToDate>
  <CharactersWithSpaces>1533</CharactersWithSpaces>
  <Application>WPS Office_11.1.0.11636_F1E327BC-269C-435d-A152-05C5408002CA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2019-03-03T02:25:00Z</dcterms:created>
  <dc:creator>陈 序</dc:creator>
  <cp:lastModifiedBy>6 0</cp:lastModifiedBy>
  <dcterms:modified xsi:type="dcterms:W3CDTF">2022-05-12T02:27:51Z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2052-11.1.0.11636</vt:lpwstr>
  </property>
  <property fmtid="{D5CDD505-2E9C-101B-9397-08002B2CF9AE}" pid="3" name="ICV">
    <vt:lpwstr>B4CB9E2B869544238575B64973341D14</vt:lpwstr>
  </property>
</Properties>
</file>